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eastAsia="方正小标宋_GBK"/>
          <w:sz w:val="44"/>
          <w:szCs w:val="44"/>
          <w:lang w:eastAsia="zh-CN"/>
        </w:rPr>
      </w:pPr>
      <w:r>
        <w:rPr>
          <w:rFonts w:hint="eastAsia" w:ascii="方正小标宋_GBK" w:eastAsia="方正小标宋_GBK"/>
          <w:sz w:val="44"/>
          <w:szCs w:val="44"/>
        </w:rPr>
        <w:t>泸县综合行政执法局20</w:t>
      </w:r>
      <w:r>
        <w:rPr>
          <w:rFonts w:hint="eastAsia" w:ascii="方正小标宋_GBK" w:eastAsia="方正小标宋_GBK"/>
          <w:sz w:val="44"/>
          <w:szCs w:val="44"/>
          <w:lang w:val="en-US" w:eastAsia="zh-CN"/>
        </w:rPr>
        <w:t>21</w:t>
      </w:r>
      <w:r>
        <w:rPr>
          <w:rFonts w:hint="eastAsia" w:ascii="方正小标宋_GBK" w:eastAsia="方正小标宋_GBK"/>
          <w:sz w:val="44"/>
          <w:szCs w:val="44"/>
        </w:rPr>
        <w:t>年</w:t>
      </w:r>
      <w:r>
        <w:rPr>
          <w:rFonts w:hint="eastAsia" w:ascii="方正小标宋_GBK" w:eastAsia="方正小标宋_GBK"/>
          <w:sz w:val="44"/>
          <w:szCs w:val="44"/>
          <w:lang w:val="en-US" w:eastAsia="zh-CN"/>
        </w:rPr>
        <w:t>8</w:t>
      </w:r>
      <w:r>
        <w:rPr>
          <w:rFonts w:hint="eastAsia" w:ascii="方正小标宋_GBK" w:eastAsia="方正小标宋_GBK"/>
          <w:sz w:val="44"/>
          <w:szCs w:val="44"/>
        </w:rPr>
        <w:t>月</w:t>
      </w:r>
      <w:r>
        <w:rPr>
          <w:rFonts w:hint="eastAsia" w:ascii="方正小标宋_GBK" w:eastAsia="方正小标宋_GBK"/>
          <w:sz w:val="44"/>
          <w:szCs w:val="44"/>
          <w:lang w:eastAsia="zh-CN"/>
        </w:rPr>
        <w:t>（第二次）</w:t>
      </w:r>
      <w:r>
        <w:rPr>
          <w:rFonts w:hint="eastAsia" w:ascii="方正小标宋_GBK" w:eastAsia="方正小标宋_GBK"/>
          <w:sz w:val="44"/>
          <w:szCs w:val="44"/>
        </w:rPr>
        <w:t>行政处罚案件信息公开表</w:t>
      </w:r>
    </w:p>
    <w:p/>
    <w:tbl>
      <w:tblPr>
        <w:tblStyle w:val="6"/>
        <w:tblW w:w="13897"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05"/>
        <w:gridCol w:w="1230"/>
        <w:gridCol w:w="2303"/>
        <w:gridCol w:w="2332"/>
        <w:gridCol w:w="1814"/>
        <w:gridCol w:w="2097"/>
        <w:gridCol w:w="1960"/>
        <w:gridCol w:w="1295"/>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444" w:hRule="atLeast"/>
          <w:tblHeader/>
        </w:trPr>
        <w:tc>
          <w:tcPr>
            <w:tcW w:w="305"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序号</w:t>
            </w:r>
          </w:p>
        </w:tc>
        <w:tc>
          <w:tcPr>
            <w:tcW w:w="1230"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行政处罚决定文书号</w:t>
            </w:r>
          </w:p>
        </w:tc>
        <w:tc>
          <w:tcPr>
            <w:tcW w:w="2303"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案件名称</w:t>
            </w:r>
          </w:p>
        </w:tc>
        <w:tc>
          <w:tcPr>
            <w:tcW w:w="2332"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违法企业名称或违法自然人统一社会信用代码</w:t>
            </w:r>
          </w:p>
        </w:tc>
        <w:tc>
          <w:tcPr>
            <w:tcW w:w="1814"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处罚事由</w:t>
            </w:r>
          </w:p>
        </w:tc>
        <w:tc>
          <w:tcPr>
            <w:tcW w:w="2097"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行政处罚结果和依据</w:t>
            </w:r>
          </w:p>
        </w:tc>
        <w:tc>
          <w:tcPr>
            <w:tcW w:w="1960"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救济渠道</w:t>
            </w:r>
          </w:p>
        </w:tc>
        <w:tc>
          <w:tcPr>
            <w:tcW w:w="1295"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作出处罚的日期</w:t>
            </w:r>
          </w:p>
        </w:tc>
        <w:tc>
          <w:tcPr>
            <w:tcW w:w="561" w:type="dxa"/>
            <w:shd w:val="clear" w:color="auto" w:fill="auto"/>
            <w:vAlign w:val="center"/>
          </w:tcPr>
          <w:p>
            <w:pPr>
              <w:jc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05" w:type="dxa"/>
            <w:shd w:val="clear" w:color="auto" w:fill="auto"/>
            <w:vAlign w:val="center"/>
          </w:tcPr>
          <w:p>
            <w:pPr>
              <w:jc w:val="center"/>
              <w:rPr>
                <w:rFonts w:hint="default" w:ascii="仿宋_GB2312" w:hAnsi="宋体" w:eastAsia="仿宋_GB2312" w:cs="宋体"/>
                <w:color w:val="000000" w:themeColor="text1"/>
                <w:kern w:val="0"/>
                <w:sz w:val="24"/>
                <w:szCs w:val="24"/>
                <w:lang w:val="en-US" w:eastAsia="zh-CN"/>
                <w14:textFill>
                  <w14:solidFill>
                    <w14:schemeClr w14:val="tx1"/>
                  </w14:solidFill>
                </w14:textFill>
              </w:rPr>
            </w:pPr>
            <w:r>
              <w:rPr>
                <w:rFonts w:hint="eastAsia" w:ascii="仿宋_GB2312" w:hAnsi="宋体" w:eastAsia="仿宋_GB2312" w:cs="宋体"/>
                <w:color w:val="000000" w:themeColor="text1"/>
                <w:kern w:val="0"/>
                <w:sz w:val="24"/>
                <w:szCs w:val="24"/>
                <w:lang w:val="en-US" w:eastAsia="zh-CN"/>
                <w14:textFill>
                  <w14:solidFill>
                    <w14:schemeClr w14:val="tx1"/>
                  </w14:solidFill>
                </w14:textFill>
              </w:rPr>
              <w:t>1</w:t>
            </w:r>
          </w:p>
        </w:tc>
        <w:tc>
          <w:tcPr>
            <w:tcW w:w="1230" w:type="dxa"/>
            <w:shd w:val="clear" w:color="auto" w:fill="auto"/>
            <w:vAlign w:val="center"/>
          </w:tcPr>
          <w:p>
            <w:pPr>
              <w:jc w:val="center"/>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泸县综执罚〔202</w:t>
            </w:r>
            <w:r>
              <w:rPr>
                <w:rFonts w:hint="eastAsia" w:ascii="仿宋_GB2312" w:hAnsi="仿宋" w:eastAsia="仿宋_GB2312"/>
                <w:color w:val="000000" w:themeColor="text1"/>
                <w:sz w:val="24"/>
                <w:lang w:val="en-US" w:eastAsia="zh-CN"/>
                <w14:textFill>
                  <w14:solidFill>
                    <w14:schemeClr w14:val="tx1"/>
                  </w14:solidFill>
                </w14:textFill>
              </w:rPr>
              <w:t>1</w:t>
            </w:r>
            <w:r>
              <w:rPr>
                <w:rFonts w:hint="eastAsia" w:ascii="仿宋_GB2312" w:hAnsi="仿宋" w:eastAsia="仿宋_GB2312"/>
                <w:color w:val="000000" w:themeColor="text1"/>
                <w:sz w:val="24"/>
                <w14:textFill>
                  <w14:solidFill>
                    <w14:schemeClr w14:val="tx1"/>
                  </w14:solidFill>
                </w14:textFill>
              </w:rPr>
              <w:t>〕第</w:t>
            </w:r>
            <w:r>
              <w:rPr>
                <w:rFonts w:hint="eastAsia" w:ascii="仿宋_GB2312" w:hAnsi="仿宋" w:eastAsia="仿宋_GB2312"/>
                <w:color w:val="000000" w:themeColor="text1"/>
                <w:sz w:val="24"/>
                <w:lang w:val="en-US" w:eastAsia="zh-CN"/>
                <w14:textFill>
                  <w14:solidFill>
                    <w14:schemeClr w14:val="tx1"/>
                  </w14:solidFill>
                </w14:textFill>
              </w:rPr>
              <w:t>44</w:t>
            </w:r>
            <w:r>
              <w:rPr>
                <w:rFonts w:hint="eastAsia" w:ascii="仿宋_GB2312" w:hAnsi="仿宋" w:eastAsia="仿宋_GB2312"/>
                <w:color w:val="000000" w:themeColor="text1"/>
                <w:sz w:val="24"/>
                <w14:textFill>
                  <w14:solidFill>
                    <w14:schemeClr w14:val="tx1"/>
                  </w14:solidFill>
                </w14:textFill>
              </w:rPr>
              <w:t>号</w:t>
            </w:r>
          </w:p>
        </w:tc>
        <w:tc>
          <w:tcPr>
            <w:tcW w:w="2303" w:type="dxa"/>
            <w:shd w:val="clear" w:color="auto" w:fill="auto"/>
            <w:vAlign w:val="center"/>
          </w:tcPr>
          <w:p>
            <w:pPr>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eastAsia" w:ascii="仿宋_GB2312" w:eastAsia="仿宋_GB2312"/>
                <w:sz w:val="24"/>
                <w:lang w:eastAsia="zh-CN"/>
              </w:rPr>
              <w:t>四川省一三五岩土工程有限公司在泸县奇峰中心卫生院迁建项目中未对超过一定规模的危大工程（消防水池基础）专项施工方案组织专家论证案</w:t>
            </w:r>
          </w:p>
        </w:tc>
        <w:tc>
          <w:tcPr>
            <w:tcW w:w="2332" w:type="dxa"/>
            <w:shd w:val="clear" w:color="auto" w:fill="auto"/>
            <w:vAlign w:val="center"/>
          </w:tcPr>
          <w:p>
            <w:pPr>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eastAsia" w:ascii="仿宋_GB2312" w:hAnsi="宋体" w:eastAsia="仿宋_GB2312" w:cs="Times New Roman"/>
                <w:sz w:val="24"/>
                <w:lang w:eastAsia="zh-CN"/>
              </w:rPr>
              <w:t>91510500746938222U</w:t>
            </w:r>
          </w:p>
        </w:tc>
        <w:tc>
          <w:tcPr>
            <w:tcW w:w="1814" w:type="dxa"/>
            <w:shd w:val="clear" w:color="auto" w:fill="auto"/>
            <w:vAlign w:val="center"/>
          </w:tcPr>
          <w:p>
            <w:pPr>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eastAsia="仿宋_GB2312"/>
                <w:sz w:val="24"/>
                <w:lang w:eastAsia="zh-CN"/>
              </w:rPr>
              <w:t>未对超过一定规模的危大工程（消防水池基础）专项施工方案组织专家论证</w:t>
            </w:r>
          </w:p>
        </w:tc>
        <w:tc>
          <w:tcPr>
            <w:tcW w:w="2097" w:type="dxa"/>
            <w:shd w:val="clear" w:color="auto" w:fill="auto"/>
            <w:vAlign w:val="center"/>
          </w:tcPr>
          <w:p>
            <w:pPr>
              <w:jc w:val="center"/>
              <w:rPr>
                <w:rFonts w:hint="default" w:ascii="仿宋_GB2312" w:hAnsi="仿宋" w:eastAsia="仿宋_GB2312"/>
                <w:color w:val="000000" w:themeColor="text1"/>
                <w:sz w:val="24"/>
                <w:szCs w:val="24"/>
                <w:lang w:val="en-US"/>
                <w14:textFill>
                  <w14:solidFill>
                    <w14:schemeClr w14:val="tx1"/>
                  </w14:solidFill>
                </w14:textFill>
              </w:rPr>
            </w:pPr>
            <w:r>
              <w:rPr>
                <w:rFonts w:hint="eastAsia" w:ascii="仿宋_GB2312" w:eastAsia="仿宋_GB2312"/>
                <w:bCs/>
                <w:sz w:val="24"/>
                <w:szCs w:val="24"/>
                <w:lang w:val="en-US" w:eastAsia="zh-CN"/>
              </w:rPr>
              <w:t>依据《危险性较大的分部分项工程安全管理规定》第三十四条第一项的规定，对四川省一三五岩土工程有限公司处12000.00元（大写：壹万贰仟元整）罚款。</w:t>
            </w:r>
          </w:p>
        </w:tc>
        <w:tc>
          <w:tcPr>
            <w:tcW w:w="1960" w:type="dxa"/>
            <w:shd w:val="clear" w:color="auto" w:fill="auto"/>
            <w:vAlign w:val="center"/>
          </w:tcPr>
          <w:p>
            <w:pPr>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bCs/>
                <w:sz w:val="24"/>
                <w:szCs w:val="24"/>
                <w:lang w:val="en-US" w:eastAsia="zh-CN"/>
              </w:rPr>
              <w:t>60日内向泸县人民政府申请行政复议，也可在收到本决定书之日起6个月内向泸县人民法院起诉。</w:t>
            </w:r>
          </w:p>
        </w:tc>
        <w:tc>
          <w:tcPr>
            <w:tcW w:w="1295" w:type="dxa"/>
            <w:shd w:val="clear" w:color="auto" w:fill="auto"/>
            <w:vAlign w:val="center"/>
          </w:tcPr>
          <w:p>
            <w:pPr>
              <w:jc w:val="center"/>
              <w:rPr>
                <w:rFonts w:hint="default" w:ascii="仿宋_GB2312" w:eastAsia="仿宋_GB2312"/>
                <w:color w:val="000000" w:themeColor="text1"/>
                <w:sz w:val="24"/>
                <w:lang w:val="en-US" w:eastAsia="zh-CN"/>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2021.8.9</w:t>
            </w:r>
          </w:p>
        </w:tc>
        <w:tc>
          <w:tcPr>
            <w:tcW w:w="561" w:type="dxa"/>
            <w:shd w:val="clear" w:color="auto" w:fill="auto"/>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05" w:type="dxa"/>
            <w:shd w:val="clear" w:color="auto" w:fill="auto"/>
            <w:vAlign w:val="center"/>
          </w:tcPr>
          <w:p>
            <w:pPr>
              <w:jc w:val="center"/>
              <w:rPr>
                <w:rFonts w:hint="default" w:ascii="仿宋_GB2312" w:hAnsi="宋体" w:eastAsia="仿宋_GB2312" w:cs="宋体"/>
                <w:color w:val="000000" w:themeColor="text1"/>
                <w:kern w:val="0"/>
                <w:sz w:val="24"/>
                <w:szCs w:val="24"/>
                <w:lang w:val="en-US" w:eastAsia="zh-CN"/>
                <w14:textFill>
                  <w14:solidFill>
                    <w14:schemeClr w14:val="tx1"/>
                  </w14:solidFill>
                </w14:textFill>
              </w:rPr>
            </w:pPr>
            <w:r>
              <w:rPr>
                <w:rFonts w:hint="eastAsia" w:ascii="仿宋_GB2312" w:hAnsi="宋体" w:eastAsia="仿宋_GB2312" w:cs="宋体"/>
                <w:color w:val="000000" w:themeColor="text1"/>
                <w:kern w:val="0"/>
                <w:sz w:val="24"/>
                <w:szCs w:val="24"/>
                <w:lang w:val="en-US" w:eastAsia="zh-CN"/>
                <w14:textFill>
                  <w14:solidFill>
                    <w14:schemeClr w14:val="tx1"/>
                  </w14:solidFill>
                </w14:textFill>
              </w:rPr>
              <w:t>2</w:t>
            </w:r>
          </w:p>
        </w:tc>
        <w:tc>
          <w:tcPr>
            <w:tcW w:w="1230" w:type="dxa"/>
            <w:shd w:val="clear" w:color="auto" w:fill="auto"/>
            <w:vAlign w:val="center"/>
          </w:tcPr>
          <w:p>
            <w:pPr>
              <w:jc w:val="center"/>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lang w:val="en-US" w:eastAsia="zh-CN"/>
                <w14:textFill>
                  <w14:solidFill>
                    <w14:schemeClr w14:val="tx1"/>
                  </w14:solidFill>
                </w14:textFill>
              </w:rPr>
              <w:t>泸</w:t>
            </w:r>
            <w:r>
              <w:rPr>
                <w:rFonts w:hint="eastAsia" w:ascii="仿宋_GB2312" w:hAnsi="仿宋" w:eastAsia="仿宋_GB2312"/>
                <w:color w:val="000000" w:themeColor="text1"/>
                <w:sz w:val="24"/>
                <w14:textFill>
                  <w14:solidFill>
                    <w14:schemeClr w14:val="tx1"/>
                  </w14:solidFill>
                </w14:textFill>
              </w:rPr>
              <w:t>县综执罚〔202</w:t>
            </w:r>
            <w:r>
              <w:rPr>
                <w:rFonts w:hint="eastAsia" w:ascii="仿宋_GB2312" w:hAnsi="仿宋" w:eastAsia="仿宋_GB2312"/>
                <w:color w:val="000000" w:themeColor="text1"/>
                <w:sz w:val="24"/>
                <w:lang w:val="en-US" w:eastAsia="zh-CN"/>
                <w14:textFill>
                  <w14:solidFill>
                    <w14:schemeClr w14:val="tx1"/>
                  </w14:solidFill>
                </w14:textFill>
              </w:rPr>
              <w:t>1</w:t>
            </w:r>
            <w:r>
              <w:rPr>
                <w:rFonts w:hint="eastAsia" w:ascii="仿宋_GB2312" w:hAnsi="仿宋" w:eastAsia="仿宋_GB2312"/>
                <w:color w:val="000000" w:themeColor="text1"/>
                <w:sz w:val="24"/>
                <w14:textFill>
                  <w14:solidFill>
                    <w14:schemeClr w14:val="tx1"/>
                  </w14:solidFill>
                </w14:textFill>
              </w:rPr>
              <w:t>〕第</w:t>
            </w:r>
            <w:r>
              <w:rPr>
                <w:rFonts w:hint="eastAsia" w:ascii="仿宋_GB2312" w:hAnsi="仿宋" w:eastAsia="仿宋_GB2312"/>
                <w:color w:val="000000" w:themeColor="text1"/>
                <w:sz w:val="24"/>
                <w:lang w:val="en-US" w:eastAsia="zh-CN"/>
                <w14:textFill>
                  <w14:solidFill>
                    <w14:schemeClr w14:val="tx1"/>
                  </w14:solidFill>
                </w14:textFill>
              </w:rPr>
              <w:t>45</w:t>
            </w:r>
            <w:r>
              <w:rPr>
                <w:rFonts w:hint="eastAsia" w:ascii="仿宋_GB2312" w:hAnsi="仿宋" w:eastAsia="仿宋_GB2312"/>
                <w:color w:val="000000" w:themeColor="text1"/>
                <w:sz w:val="24"/>
                <w14:textFill>
                  <w14:solidFill>
                    <w14:schemeClr w14:val="tx1"/>
                  </w14:solidFill>
                </w14:textFill>
              </w:rPr>
              <w:t>号</w:t>
            </w:r>
          </w:p>
        </w:tc>
        <w:tc>
          <w:tcPr>
            <w:tcW w:w="2303" w:type="dxa"/>
            <w:shd w:val="clear" w:color="auto" w:fill="auto"/>
            <w:vAlign w:val="center"/>
          </w:tcPr>
          <w:p>
            <w:pPr>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eastAsia" w:ascii="仿宋_GB2312" w:eastAsia="仿宋_GB2312"/>
                <w:sz w:val="24"/>
                <w:lang w:eastAsia="zh-CN"/>
              </w:rPr>
              <w:t>四川省一三五岩土工程有限公司在泸县奇峰中心卫生院迁建项目中未对超过一定规模的危大工程（消防水池基础）专项施工方案组织专家论证案</w:t>
            </w:r>
          </w:p>
        </w:tc>
        <w:tc>
          <w:tcPr>
            <w:tcW w:w="2332" w:type="dxa"/>
            <w:shd w:val="clear" w:color="auto" w:fill="auto"/>
            <w:vAlign w:val="center"/>
          </w:tcPr>
          <w:p>
            <w:pPr>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eastAsia" w:ascii="仿宋_GB2312" w:eastAsia="仿宋_GB2312"/>
                <w:bCs/>
                <w:sz w:val="24"/>
                <w:szCs w:val="24"/>
                <w:lang w:val="en-US" w:eastAsia="zh-CN"/>
              </w:rPr>
              <w:t>陈冰（身份证号码：51052119******071X）</w:t>
            </w:r>
          </w:p>
        </w:tc>
        <w:tc>
          <w:tcPr>
            <w:tcW w:w="1814" w:type="dxa"/>
            <w:shd w:val="clear" w:color="auto" w:fill="auto"/>
            <w:vAlign w:val="center"/>
          </w:tcPr>
          <w:p>
            <w:pPr>
              <w:jc w:val="center"/>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eastAsia="仿宋_GB2312"/>
                <w:sz w:val="24"/>
                <w:lang w:eastAsia="zh-CN"/>
              </w:rPr>
              <w:t>未对超过一定规模的危大工程（消防水池基础）专项施工方案组织专家论证，陈冰为</w:t>
            </w:r>
            <w:r>
              <w:rPr>
                <w:rFonts w:hint="eastAsia" w:ascii="仿宋_GB2312" w:eastAsia="仿宋_GB2312"/>
                <w:bCs/>
                <w:sz w:val="24"/>
                <w:szCs w:val="24"/>
                <w:lang w:val="en-US" w:eastAsia="zh-CN"/>
              </w:rPr>
              <w:t>项目负责人（直接负责人）</w:t>
            </w:r>
          </w:p>
        </w:tc>
        <w:tc>
          <w:tcPr>
            <w:tcW w:w="2097" w:type="dxa"/>
            <w:shd w:val="clear" w:color="auto" w:fill="auto"/>
            <w:vAlign w:val="center"/>
          </w:tcPr>
          <w:p>
            <w:pPr>
              <w:jc w:val="center"/>
              <w:rPr>
                <w:rFonts w:hint="default" w:ascii="仿宋_GB2312" w:hAnsi="仿宋" w:eastAsia="仿宋_GB2312"/>
                <w:color w:val="000000" w:themeColor="text1"/>
                <w:sz w:val="24"/>
                <w:szCs w:val="24"/>
                <w:lang w:val="en-US"/>
                <w14:textFill>
                  <w14:solidFill>
                    <w14:schemeClr w14:val="tx1"/>
                  </w14:solidFill>
                </w14:textFill>
              </w:rPr>
            </w:pPr>
            <w:r>
              <w:rPr>
                <w:rFonts w:hint="eastAsia" w:ascii="仿宋_GB2312" w:eastAsia="仿宋_GB2312"/>
                <w:bCs/>
                <w:sz w:val="24"/>
                <w:szCs w:val="24"/>
                <w:lang w:val="en-US" w:eastAsia="zh-CN"/>
              </w:rPr>
              <w:t>依据《危险性较大的分部分项工程安全管理规定》第三十四条第一项的规定，对，项目负责人（直接负责人）陈冰处1500.00元（大写：壹仟伍佰元整）罚款</w:t>
            </w:r>
          </w:p>
        </w:tc>
        <w:tc>
          <w:tcPr>
            <w:tcW w:w="1960" w:type="dxa"/>
            <w:shd w:val="clear" w:color="auto" w:fill="auto"/>
            <w:vAlign w:val="center"/>
          </w:tcPr>
          <w:p>
            <w:pPr>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bCs/>
                <w:sz w:val="24"/>
                <w:szCs w:val="24"/>
                <w:lang w:val="en-US" w:eastAsia="zh-CN"/>
              </w:rPr>
              <w:t>60日内向泸县人民政府申请行政复议，也可在收到本决定书之日起6个月内向泸县人民法院起诉。</w:t>
            </w:r>
          </w:p>
        </w:tc>
        <w:tc>
          <w:tcPr>
            <w:tcW w:w="1295" w:type="dxa"/>
            <w:shd w:val="clear" w:color="auto" w:fill="auto"/>
            <w:vAlign w:val="center"/>
          </w:tcPr>
          <w:p>
            <w:pPr>
              <w:jc w:val="center"/>
              <w:rPr>
                <w:rFonts w:hint="default" w:ascii="仿宋_GB2312" w:eastAsia="仿宋_GB2312"/>
                <w:color w:val="000000" w:themeColor="text1"/>
                <w:sz w:val="24"/>
                <w:lang w:val="en-US" w:eastAsia="zh-CN"/>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2021.8.9</w:t>
            </w:r>
          </w:p>
        </w:tc>
        <w:tc>
          <w:tcPr>
            <w:tcW w:w="561" w:type="dxa"/>
            <w:shd w:val="clear" w:color="auto" w:fill="auto"/>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05" w:type="dxa"/>
            <w:shd w:val="clear" w:color="auto" w:fill="auto"/>
            <w:vAlign w:val="center"/>
          </w:tcPr>
          <w:p>
            <w:pPr>
              <w:jc w:val="center"/>
              <w:rPr>
                <w:rFonts w:hint="default" w:ascii="仿宋_GB2312" w:hAnsi="宋体" w:eastAsia="仿宋_GB2312" w:cs="宋体"/>
                <w:color w:val="000000" w:themeColor="text1"/>
                <w:kern w:val="0"/>
                <w:sz w:val="24"/>
                <w:szCs w:val="24"/>
                <w:lang w:val="en-US" w:eastAsia="zh-CN"/>
                <w14:textFill>
                  <w14:solidFill>
                    <w14:schemeClr w14:val="tx1"/>
                  </w14:solidFill>
                </w14:textFill>
              </w:rPr>
            </w:pPr>
            <w:r>
              <w:rPr>
                <w:rFonts w:hint="eastAsia" w:ascii="仿宋_GB2312" w:hAnsi="宋体" w:eastAsia="仿宋_GB2312" w:cs="宋体"/>
                <w:color w:val="000000" w:themeColor="text1"/>
                <w:kern w:val="0"/>
                <w:sz w:val="24"/>
                <w:szCs w:val="24"/>
                <w:lang w:val="en-US" w:eastAsia="zh-CN"/>
                <w14:textFill>
                  <w14:solidFill>
                    <w14:schemeClr w14:val="tx1"/>
                  </w14:solidFill>
                </w14:textFill>
              </w:rPr>
              <w:t>3</w:t>
            </w:r>
          </w:p>
        </w:tc>
        <w:tc>
          <w:tcPr>
            <w:tcW w:w="1230" w:type="dxa"/>
            <w:shd w:val="clear" w:color="auto" w:fill="auto"/>
            <w:vAlign w:val="center"/>
          </w:tcPr>
          <w:p>
            <w:pPr>
              <w:jc w:val="center"/>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lang w:val="en-US" w:eastAsia="zh-CN"/>
                <w14:textFill>
                  <w14:solidFill>
                    <w14:schemeClr w14:val="tx1"/>
                  </w14:solidFill>
                </w14:textFill>
              </w:rPr>
              <w:t>泸</w:t>
            </w:r>
            <w:r>
              <w:rPr>
                <w:rFonts w:hint="eastAsia" w:ascii="仿宋_GB2312" w:hAnsi="仿宋" w:eastAsia="仿宋_GB2312"/>
                <w:color w:val="000000" w:themeColor="text1"/>
                <w:sz w:val="24"/>
                <w14:textFill>
                  <w14:solidFill>
                    <w14:schemeClr w14:val="tx1"/>
                  </w14:solidFill>
                </w14:textFill>
              </w:rPr>
              <w:t>县综执罚〔202</w:t>
            </w:r>
            <w:r>
              <w:rPr>
                <w:rFonts w:hint="eastAsia" w:ascii="仿宋_GB2312" w:hAnsi="仿宋" w:eastAsia="仿宋_GB2312"/>
                <w:color w:val="000000" w:themeColor="text1"/>
                <w:sz w:val="24"/>
                <w:lang w:val="en-US" w:eastAsia="zh-CN"/>
                <w14:textFill>
                  <w14:solidFill>
                    <w14:schemeClr w14:val="tx1"/>
                  </w14:solidFill>
                </w14:textFill>
              </w:rPr>
              <w:t>1</w:t>
            </w:r>
            <w:r>
              <w:rPr>
                <w:rFonts w:hint="eastAsia" w:ascii="仿宋_GB2312" w:hAnsi="仿宋" w:eastAsia="仿宋_GB2312"/>
                <w:color w:val="000000" w:themeColor="text1"/>
                <w:sz w:val="24"/>
                <w14:textFill>
                  <w14:solidFill>
                    <w14:schemeClr w14:val="tx1"/>
                  </w14:solidFill>
                </w14:textFill>
              </w:rPr>
              <w:t>〕第</w:t>
            </w:r>
            <w:r>
              <w:rPr>
                <w:rFonts w:hint="eastAsia" w:ascii="仿宋_GB2312" w:hAnsi="仿宋" w:eastAsia="仿宋_GB2312"/>
                <w:color w:val="000000" w:themeColor="text1"/>
                <w:sz w:val="24"/>
                <w:lang w:val="en-US" w:eastAsia="zh-CN"/>
                <w14:textFill>
                  <w14:solidFill>
                    <w14:schemeClr w14:val="tx1"/>
                  </w14:solidFill>
                </w14:textFill>
              </w:rPr>
              <w:t>46</w:t>
            </w:r>
            <w:r>
              <w:rPr>
                <w:rFonts w:hint="eastAsia" w:ascii="仿宋_GB2312" w:hAnsi="仿宋" w:eastAsia="仿宋_GB2312"/>
                <w:color w:val="000000" w:themeColor="text1"/>
                <w:sz w:val="24"/>
                <w14:textFill>
                  <w14:solidFill>
                    <w14:schemeClr w14:val="tx1"/>
                  </w14:solidFill>
                </w14:textFill>
              </w:rPr>
              <w:t>号</w:t>
            </w:r>
          </w:p>
        </w:tc>
        <w:tc>
          <w:tcPr>
            <w:tcW w:w="2303" w:type="dxa"/>
            <w:shd w:val="clear" w:color="auto" w:fill="auto"/>
            <w:vAlign w:val="center"/>
          </w:tcPr>
          <w:p>
            <w:pPr>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eastAsia" w:ascii="仿宋_GB2312" w:eastAsia="仿宋_GB2312"/>
                <w:sz w:val="24"/>
                <w:lang w:eastAsia="zh-CN"/>
              </w:rPr>
              <w:t>四川中成煤炭建设（集团）有限责任公司在泸县得胜镇卫生院迁建项目中未对超过一定规模的危大工程（消防水池深基坑工程）专项施工方案进行专家论证案</w:t>
            </w:r>
          </w:p>
        </w:tc>
        <w:tc>
          <w:tcPr>
            <w:tcW w:w="2332" w:type="dxa"/>
            <w:shd w:val="clear" w:color="auto" w:fill="auto"/>
            <w:vAlign w:val="center"/>
          </w:tcPr>
          <w:p>
            <w:pPr>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default" w:ascii="仿宋_GB2312" w:hAnsi="仿宋_GB2312" w:eastAsia="宋体" w:cs="仿宋_GB2312"/>
                <w:sz w:val="24"/>
                <w:lang w:val="en-US" w:eastAsia="zh-CN"/>
              </w:rPr>
              <w:t>9151000070915121X7</w:t>
            </w:r>
          </w:p>
        </w:tc>
        <w:tc>
          <w:tcPr>
            <w:tcW w:w="1814" w:type="dxa"/>
            <w:shd w:val="clear" w:color="auto" w:fill="auto"/>
            <w:vAlign w:val="center"/>
          </w:tcPr>
          <w:p>
            <w:pPr>
              <w:jc w:val="center"/>
              <w:rPr>
                <w:rFonts w:hint="eastAsia" w:ascii="仿宋_GB2312" w:eastAsia="仿宋_GB2312"/>
                <w:sz w:val="24"/>
                <w:lang w:eastAsia="zh-CN"/>
              </w:rPr>
            </w:pPr>
            <w:r>
              <w:rPr>
                <w:rFonts w:hint="eastAsia" w:ascii="仿宋_GB2312" w:eastAsia="仿宋_GB2312"/>
                <w:sz w:val="24"/>
                <w:lang w:eastAsia="zh-CN"/>
              </w:rPr>
              <w:t>未对超过一定规模的危大工程（消防水池基础）专项施工方案进行专家论证</w:t>
            </w:r>
          </w:p>
        </w:tc>
        <w:tc>
          <w:tcPr>
            <w:tcW w:w="2097" w:type="dxa"/>
            <w:shd w:val="clear" w:color="auto" w:fill="auto"/>
            <w:vAlign w:val="center"/>
          </w:tcPr>
          <w:p>
            <w:pPr>
              <w:jc w:val="center"/>
              <w:rPr>
                <w:rFonts w:hint="default" w:ascii="仿宋_GB2312" w:eastAsia="仿宋_GB2312"/>
                <w:sz w:val="24"/>
                <w:lang w:val="en-US" w:eastAsia="zh-CN"/>
              </w:rPr>
            </w:pPr>
            <w:r>
              <w:rPr>
                <w:rFonts w:hint="default" w:ascii="仿宋_GB2312" w:eastAsia="仿宋_GB2312"/>
                <w:sz w:val="24"/>
                <w:lang w:val="en-US" w:eastAsia="zh-CN"/>
              </w:rPr>
              <w:t>依据《危险性较大的分部分项工程安全管理规定》第三十四条</w:t>
            </w:r>
            <w:r>
              <w:rPr>
                <w:rFonts w:hint="eastAsia" w:ascii="仿宋_GB2312" w:eastAsia="仿宋_GB2312"/>
                <w:sz w:val="24"/>
                <w:lang w:val="en-US" w:eastAsia="zh-CN"/>
              </w:rPr>
              <w:t>第一项规定，对</w:t>
            </w:r>
            <w:r>
              <w:rPr>
                <w:rFonts w:hint="eastAsia" w:ascii="仿宋_GB2312" w:eastAsia="仿宋_GB2312"/>
                <w:sz w:val="24"/>
                <w:lang w:eastAsia="zh-CN"/>
              </w:rPr>
              <w:t>四川中成煤炭建设（集团）有限责任公司</w:t>
            </w:r>
            <w:r>
              <w:rPr>
                <w:rFonts w:hint="eastAsia" w:ascii="仿宋_GB2312" w:eastAsia="仿宋_GB2312"/>
                <w:sz w:val="24"/>
                <w:lang w:val="en-US" w:eastAsia="zh-CN"/>
              </w:rPr>
              <w:t>处20000.00（大写：贰万元整）罚款。</w:t>
            </w:r>
          </w:p>
        </w:tc>
        <w:tc>
          <w:tcPr>
            <w:tcW w:w="1960" w:type="dxa"/>
            <w:shd w:val="clear" w:color="auto" w:fill="auto"/>
            <w:vAlign w:val="center"/>
          </w:tcPr>
          <w:p>
            <w:pPr>
              <w:jc w:val="center"/>
              <w:rPr>
                <w:rFonts w:hint="eastAsia" w:ascii="仿宋_GB2312" w:eastAsia="仿宋_GB2312"/>
                <w:color w:val="000000" w:themeColor="text1"/>
                <w:sz w:val="24"/>
                <w14:textFill>
                  <w14:solidFill>
                    <w14:schemeClr w14:val="tx1"/>
                  </w14:solidFill>
                </w14:textFill>
              </w:rPr>
            </w:pPr>
            <w:r>
              <w:rPr>
                <w:rFonts w:hint="eastAsia" w:ascii="仿宋_GB2312" w:eastAsia="仿宋_GB2312"/>
                <w:bCs/>
                <w:sz w:val="24"/>
                <w:szCs w:val="24"/>
                <w:lang w:val="en-US" w:eastAsia="zh-CN"/>
              </w:rPr>
              <w:t>60日内向泸县人民政府申请行政复议，也可在收到本决定书之日起6个月内向泸县人民法院起诉。</w:t>
            </w:r>
          </w:p>
        </w:tc>
        <w:tc>
          <w:tcPr>
            <w:tcW w:w="1295" w:type="dxa"/>
            <w:shd w:val="clear" w:color="auto" w:fill="auto"/>
            <w:vAlign w:val="center"/>
          </w:tcPr>
          <w:p>
            <w:pPr>
              <w:jc w:val="center"/>
              <w:rPr>
                <w:rFonts w:hint="default" w:ascii="仿宋_GB2312" w:eastAsia="仿宋_GB2312"/>
                <w:color w:val="000000" w:themeColor="text1"/>
                <w:sz w:val="24"/>
                <w:lang w:val="en-US" w:eastAsia="zh-CN"/>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2021.8.12</w:t>
            </w:r>
          </w:p>
        </w:tc>
        <w:tc>
          <w:tcPr>
            <w:tcW w:w="561" w:type="dxa"/>
            <w:shd w:val="clear" w:color="auto" w:fill="auto"/>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05" w:type="dxa"/>
            <w:shd w:val="clear" w:color="auto" w:fill="auto"/>
            <w:vAlign w:val="center"/>
          </w:tcPr>
          <w:p>
            <w:pPr>
              <w:jc w:val="center"/>
              <w:rPr>
                <w:rFonts w:hint="default" w:ascii="仿宋_GB2312" w:hAnsi="宋体" w:eastAsia="仿宋_GB2312" w:cs="宋体"/>
                <w:color w:val="000000" w:themeColor="text1"/>
                <w:kern w:val="0"/>
                <w:sz w:val="24"/>
                <w:szCs w:val="24"/>
                <w:lang w:val="en-US" w:eastAsia="zh-CN"/>
                <w14:textFill>
                  <w14:solidFill>
                    <w14:schemeClr w14:val="tx1"/>
                  </w14:solidFill>
                </w14:textFill>
              </w:rPr>
            </w:pPr>
            <w:r>
              <w:rPr>
                <w:rFonts w:hint="eastAsia" w:ascii="仿宋_GB2312" w:hAnsi="宋体" w:eastAsia="仿宋_GB2312" w:cs="宋体"/>
                <w:color w:val="000000" w:themeColor="text1"/>
                <w:kern w:val="0"/>
                <w:sz w:val="24"/>
                <w:szCs w:val="24"/>
                <w:lang w:val="en-US" w:eastAsia="zh-CN"/>
                <w14:textFill>
                  <w14:solidFill>
                    <w14:schemeClr w14:val="tx1"/>
                  </w14:solidFill>
                </w14:textFill>
              </w:rPr>
              <w:t>4</w:t>
            </w:r>
          </w:p>
        </w:tc>
        <w:tc>
          <w:tcPr>
            <w:tcW w:w="1230" w:type="dxa"/>
            <w:shd w:val="clear" w:color="auto" w:fill="auto"/>
            <w:vAlign w:val="center"/>
          </w:tcPr>
          <w:p>
            <w:pPr>
              <w:jc w:val="center"/>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lang w:val="en-US" w:eastAsia="zh-CN"/>
                <w14:textFill>
                  <w14:solidFill>
                    <w14:schemeClr w14:val="tx1"/>
                  </w14:solidFill>
                </w14:textFill>
              </w:rPr>
              <w:t>泸</w:t>
            </w:r>
            <w:r>
              <w:rPr>
                <w:rFonts w:hint="eastAsia" w:ascii="仿宋_GB2312" w:hAnsi="仿宋" w:eastAsia="仿宋_GB2312"/>
                <w:color w:val="000000" w:themeColor="text1"/>
                <w:sz w:val="24"/>
                <w14:textFill>
                  <w14:solidFill>
                    <w14:schemeClr w14:val="tx1"/>
                  </w14:solidFill>
                </w14:textFill>
              </w:rPr>
              <w:t>县综执罚〔202</w:t>
            </w:r>
            <w:r>
              <w:rPr>
                <w:rFonts w:hint="eastAsia" w:ascii="仿宋_GB2312" w:hAnsi="仿宋" w:eastAsia="仿宋_GB2312"/>
                <w:color w:val="000000" w:themeColor="text1"/>
                <w:sz w:val="24"/>
                <w:lang w:val="en-US" w:eastAsia="zh-CN"/>
                <w14:textFill>
                  <w14:solidFill>
                    <w14:schemeClr w14:val="tx1"/>
                  </w14:solidFill>
                </w14:textFill>
              </w:rPr>
              <w:t>1</w:t>
            </w:r>
            <w:r>
              <w:rPr>
                <w:rFonts w:hint="eastAsia" w:ascii="仿宋_GB2312" w:hAnsi="仿宋" w:eastAsia="仿宋_GB2312"/>
                <w:color w:val="000000" w:themeColor="text1"/>
                <w:sz w:val="24"/>
                <w14:textFill>
                  <w14:solidFill>
                    <w14:schemeClr w14:val="tx1"/>
                  </w14:solidFill>
                </w14:textFill>
              </w:rPr>
              <w:t>〕第</w:t>
            </w:r>
            <w:r>
              <w:rPr>
                <w:rFonts w:hint="eastAsia" w:ascii="仿宋_GB2312" w:hAnsi="仿宋" w:eastAsia="仿宋_GB2312"/>
                <w:color w:val="000000" w:themeColor="text1"/>
                <w:sz w:val="24"/>
                <w:lang w:val="en-US" w:eastAsia="zh-CN"/>
                <w14:textFill>
                  <w14:solidFill>
                    <w14:schemeClr w14:val="tx1"/>
                  </w14:solidFill>
                </w14:textFill>
              </w:rPr>
              <w:t>47</w:t>
            </w:r>
            <w:r>
              <w:rPr>
                <w:rFonts w:hint="eastAsia" w:ascii="仿宋_GB2312" w:hAnsi="仿宋" w:eastAsia="仿宋_GB2312"/>
                <w:color w:val="000000" w:themeColor="text1"/>
                <w:sz w:val="24"/>
                <w14:textFill>
                  <w14:solidFill>
                    <w14:schemeClr w14:val="tx1"/>
                  </w14:solidFill>
                </w14:textFill>
              </w:rPr>
              <w:t>号</w:t>
            </w:r>
          </w:p>
        </w:tc>
        <w:tc>
          <w:tcPr>
            <w:tcW w:w="2303" w:type="dxa"/>
            <w:shd w:val="clear" w:color="auto" w:fill="auto"/>
            <w:vAlign w:val="center"/>
          </w:tcPr>
          <w:p>
            <w:pPr>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eastAsia" w:ascii="仿宋_GB2312" w:eastAsia="仿宋_GB2312"/>
                <w:sz w:val="24"/>
                <w:lang w:eastAsia="zh-CN"/>
              </w:rPr>
              <w:t>四川中成煤炭建设（集团）有限责任公司在泸县得胜镇卫生院迁建项目中未对超过一定规模的危大工程（消防水池深基坑工程）专项施工方案进行专家论证案</w:t>
            </w:r>
          </w:p>
        </w:tc>
        <w:tc>
          <w:tcPr>
            <w:tcW w:w="2332" w:type="dxa"/>
            <w:shd w:val="clear" w:color="auto" w:fill="auto"/>
            <w:vAlign w:val="center"/>
          </w:tcPr>
          <w:p>
            <w:pPr>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蔡成武（身份证号码：51302719******671X）</w:t>
            </w:r>
          </w:p>
        </w:tc>
        <w:tc>
          <w:tcPr>
            <w:tcW w:w="1814" w:type="dxa"/>
            <w:shd w:val="clear" w:color="auto" w:fill="auto"/>
            <w:vAlign w:val="center"/>
          </w:tcPr>
          <w:p>
            <w:pPr>
              <w:jc w:val="center"/>
              <w:rPr>
                <w:rFonts w:hint="eastAsia" w:ascii="仿宋_GB2312" w:eastAsia="仿宋_GB2312"/>
                <w:sz w:val="24"/>
                <w:lang w:eastAsia="zh-CN"/>
              </w:rPr>
            </w:pPr>
            <w:r>
              <w:rPr>
                <w:rFonts w:hint="eastAsia" w:ascii="仿宋_GB2312" w:eastAsia="仿宋_GB2312"/>
                <w:sz w:val="24"/>
                <w:lang w:eastAsia="zh-CN"/>
              </w:rPr>
              <w:t>未对超过一定规模的危大工程（消防水池基础）专项施工方案进行专家论证，</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蔡成武为</w:t>
            </w:r>
            <w:r>
              <w:rPr>
                <w:rFonts w:hint="eastAsia" w:ascii="仿宋_GB2312" w:eastAsia="仿宋_GB2312"/>
                <w:sz w:val="24"/>
                <w:lang w:val="en-US" w:eastAsia="zh-CN"/>
              </w:rPr>
              <w:t>项目直接负责人。</w:t>
            </w:r>
          </w:p>
        </w:tc>
        <w:tc>
          <w:tcPr>
            <w:tcW w:w="2097" w:type="dxa"/>
            <w:shd w:val="clear" w:color="auto" w:fill="auto"/>
            <w:vAlign w:val="center"/>
          </w:tcPr>
          <w:p>
            <w:pPr>
              <w:jc w:val="center"/>
              <w:rPr>
                <w:rFonts w:hint="default" w:ascii="仿宋_GB2312" w:eastAsia="仿宋_GB2312"/>
                <w:sz w:val="24"/>
                <w:lang w:val="en-US" w:eastAsia="zh-CN"/>
              </w:rPr>
            </w:pPr>
            <w:r>
              <w:rPr>
                <w:rFonts w:hint="default" w:ascii="仿宋_GB2312" w:eastAsia="仿宋_GB2312"/>
                <w:sz w:val="24"/>
                <w:lang w:val="en-US" w:eastAsia="zh-CN"/>
              </w:rPr>
              <w:t>依据《危险性较大的分部分项工程安全管理规定》第三十四条</w:t>
            </w:r>
            <w:r>
              <w:rPr>
                <w:rFonts w:hint="eastAsia" w:ascii="仿宋_GB2312" w:eastAsia="仿宋_GB2312"/>
                <w:sz w:val="24"/>
                <w:lang w:val="en-US" w:eastAsia="zh-CN"/>
              </w:rPr>
              <w:t>第一项规定，对项目直接负责人蔡成武处3000.00（大写：叁仟元整）罚款</w:t>
            </w:r>
          </w:p>
        </w:tc>
        <w:tc>
          <w:tcPr>
            <w:tcW w:w="1960" w:type="dxa"/>
            <w:shd w:val="clear" w:color="auto" w:fill="auto"/>
            <w:vAlign w:val="center"/>
          </w:tcPr>
          <w:p>
            <w:pPr>
              <w:jc w:val="center"/>
              <w:rPr>
                <w:rFonts w:hint="eastAsia" w:ascii="仿宋_GB2312" w:eastAsia="仿宋_GB2312"/>
                <w:color w:val="000000" w:themeColor="text1"/>
                <w:sz w:val="24"/>
                <w14:textFill>
                  <w14:solidFill>
                    <w14:schemeClr w14:val="tx1"/>
                  </w14:solidFill>
                </w14:textFill>
              </w:rPr>
            </w:pPr>
            <w:r>
              <w:rPr>
                <w:rFonts w:hint="eastAsia" w:ascii="仿宋_GB2312" w:eastAsia="仿宋_GB2312"/>
                <w:bCs/>
                <w:sz w:val="24"/>
                <w:szCs w:val="24"/>
                <w:lang w:val="en-US" w:eastAsia="zh-CN"/>
              </w:rPr>
              <w:t>60日内向泸县人民政府申请行政复议，也可在收到本决定书之日起6个月内向泸县人民法院起诉。</w:t>
            </w:r>
          </w:p>
        </w:tc>
        <w:tc>
          <w:tcPr>
            <w:tcW w:w="1295" w:type="dxa"/>
            <w:shd w:val="clear" w:color="auto" w:fill="auto"/>
            <w:vAlign w:val="center"/>
          </w:tcPr>
          <w:p>
            <w:pPr>
              <w:jc w:val="center"/>
              <w:rPr>
                <w:rFonts w:hint="default" w:ascii="仿宋_GB2312" w:eastAsia="仿宋_GB2312"/>
                <w:color w:val="000000" w:themeColor="text1"/>
                <w:sz w:val="24"/>
                <w:lang w:val="en-US" w:eastAsia="zh-CN"/>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2021.8.12</w:t>
            </w:r>
          </w:p>
        </w:tc>
        <w:tc>
          <w:tcPr>
            <w:tcW w:w="561" w:type="dxa"/>
            <w:shd w:val="clear" w:color="auto" w:fill="auto"/>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617" w:hRule="atLeast"/>
        </w:trPr>
        <w:tc>
          <w:tcPr>
            <w:tcW w:w="305" w:type="dxa"/>
            <w:shd w:val="clear" w:color="auto" w:fill="auto"/>
            <w:vAlign w:val="center"/>
          </w:tcPr>
          <w:p>
            <w:pPr>
              <w:jc w:val="center"/>
              <w:rPr>
                <w:rFonts w:hint="default" w:ascii="仿宋_GB2312" w:hAnsi="宋体" w:eastAsia="仿宋_GB2312" w:cs="宋体"/>
                <w:color w:val="000000" w:themeColor="text1"/>
                <w:kern w:val="0"/>
                <w:sz w:val="24"/>
                <w:szCs w:val="24"/>
                <w:lang w:val="en-US" w:eastAsia="zh-CN"/>
                <w14:textFill>
                  <w14:solidFill>
                    <w14:schemeClr w14:val="tx1"/>
                  </w14:solidFill>
                </w14:textFill>
              </w:rPr>
            </w:pPr>
            <w:r>
              <w:rPr>
                <w:rFonts w:hint="eastAsia" w:ascii="仿宋_GB2312" w:hAnsi="宋体" w:eastAsia="仿宋_GB2312" w:cs="宋体"/>
                <w:color w:val="000000" w:themeColor="text1"/>
                <w:kern w:val="0"/>
                <w:sz w:val="24"/>
                <w:szCs w:val="24"/>
                <w:lang w:val="en-US" w:eastAsia="zh-CN"/>
                <w14:textFill>
                  <w14:solidFill>
                    <w14:schemeClr w14:val="tx1"/>
                  </w14:solidFill>
                </w14:textFill>
              </w:rPr>
              <w:t>5</w:t>
            </w:r>
          </w:p>
        </w:tc>
        <w:tc>
          <w:tcPr>
            <w:tcW w:w="1230" w:type="dxa"/>
            <w:shd w:val="clear" w:color="auto" w:fill="auto"/>
            <w:vAlign w:val="center"/>
          </w:tcPr>
          <w:p>
            <w:pPr>
              <w:jc w:val="center"/>
              <w:rPr>
                <w:rFonts w:hint="eastAsia" w:ascii="仿宋_GB2312" w:hAnsi="仿宋" w:eastAsia="仿宋_GB2312"/>
                <w:color w:val="000000" w:themeColor="text1"/>
                <w:sz w:val="24"/>
                <w:lang w:val="en-US" w:eastAsia="zh-CN"/>
                <w14:textFill>
                  <w14:solidFill>
                    <w14:schemeClr w14:val="tx1"/>
                  </w14:solidFill>
                </w14:textFill>
              </w:rPr>
            </w:pPr>
            <w:r>
              <w:rPr>
                <w:rFonts w:hint="eastAsia" w:ascii="仿宋_GB2312" w:hAnsi="仿宋" w:eastAsia="仿宋_GB2312"/>
                <w:color w:val="000000" w:themeColor="text1"/>
                <w:sz w:val="24"/>
                <w:lang w:val="en-US" w:eastAsia="zh-CN"/>
                <w14:textFill>
                  <w14:solidFill>
                    <w14:schemeClr w14:val="tx1"/>
                  </w14:solidFill>
                </w14:textFill>
              </w:rPr>
              <w:t>泸</w:t>
            </w:r>
            <w:r>
              <w:rPr>
                <w:rFonts w:hint="eastAsia" w:ascii="仿宋_GB2312" w:hAnsi="仿宋" w:eastAsia="仿宋_GB2312"/>
                <w:color w:val="000000" w:themeColor="text1"/>
                <w:sz w:val="24"/>
                <w14:textFill>
                  <w14:solidFill>
                    <w14:schemeClr w14:val="tx1"/>
                  </w14:solidFill>
                </w14:textFill>
              </w:rPr>
              <w:t>县综执罚〔202</w:t>
            </w:r>
            <w:r>
              <w:rPr>
                <w:rFonts w:hint="eastAsia" w:ascii="仿宋_GB2312" w:hAnsi="仿宋" w:eastAsia="仿宋_GB2312"/>
                <w:color w:val="000000" w:themeColor="text1"/>
                <w:sz w:val="24"/>
                <w:lang w:val="en-US" w:eastAsia="zh-CN"/>
                <w14:textFill>
                  <w14:solidFill>
                    <w14:schemeClr w14:val="tx1"/>
                  </w14:solidFill>
                </w14:textFill>
              </w:rPr>
              <w:t>1</w:t>
            </w:r>
            <w:r>
              <w:rPr>
                <w:rFonts w:hint="eastAsia" w:ascii="仿宋_GB2312" w:hAnsi="仿宋" w:eastAsia="仿宋_GB2312"/>
                <w:color w:val="000000" w:themeColor="text1"/>
                <w:sz w:val="24"/>
                <w14:textFill>
                  <w14:solidFill>
                    <w14:schemeClr w14:val="tx1"/>
                  </w14:solidFill>
                </w14:textFill>
              </w:rPr>
              <w:t>〕第</w:t>
            </w:r>
            <w:r>
              <w:rPr>
                <w:rFonts w:hint="eastAsia" w:ascii="仿宋_GB2312" w:hAnsi="仿宋" w:eastAsia="仿宋_GB2312"/>
                <w:color w:val="000000" w:themeColor="text1"/>
                <w:sz w:val="24"/>
                <w:lang w:val="en-US" w:eastAsia="zh-CN"/>
                <w14:textFill>
                  <w14:solidFill>
                    <w14:schemeClr w14:val="tx1"/>
                  </w14:solidFill>
                </w14:textFill>
              </w:rPr>
              <w:t>48</w:t>
            </w:r>
            <w:r>
              <w:rPr>
                <w:rFonts w:hint="eastAsia" w:ascii="仿宋_GB2312" w:hAnsi="仿宋" w:eastAsia="仿宋_GB2312"/>
                <w:color w:val="000000" w:themeColor="text1"/>
                <w:sz w:val="24"/>
                <w14:textFill>
                  <w14:solidFill>
                    <w14:schemeClr w14:val="tx1"/>
                  </w14:solidFill>
                </w14:textFill>
              </w:rPr>
              <w:t>号</w:t>
            </w:r>
          </w:p>
        </w:tc>
        <w:tc>
          <w:tcPr>
            <w:tcW w:w="2303" w:type="dxa"/>
            <w:shd w:val="clear" w:color="auto" w:fill="auto"/>
            <w:vAlign w:val="center"/>
          </w:tcPr>
          <w:p>
            <w:pPr>
              <w:jc w:val="center"/>
              <w:rPr>
                <w:rFonts w:hint="eastAsia" w:ascii="仿宋_GB2312" w:eastAsia="仿宋_GB2312"/>
                <w:sz w:val="24"/>
                <w:lang w:eastAsia="zh-CN"/>
              </w:rPr>
            </w:pPr>
            <w:r>
              <w:rPr>
                <w:rFonts w:hint="eastAsia" w:ascii="仿宋_GB2312" w:eastAsia="仿宋_GB2312"/>
                <w:sz w:val="24"/>
                <w:lang w:eastAsia="zh-CN"/>
              </w:rPr>
              <w:t>四川中成煤炭建设（集团）有限责任公司在泸县得胜镇卫生院迁建项目中未对超过一定规模的危大工程（消防水池深基坑工程）专项施工方案进行专家论证案</w:t>
            </w:r>
            <w:bookmarkStart w:id="0" w:name="_GoBack"/>
            <w:bookmarkEnd w:id="0"/>
          </w:p>
        </w:tc>
        <w:tc>
          <w:tcPr>
            <w:tcW w:w="2332" w:type="dxa"/>
            <w:shd w:val="clear" w:color="auto" w:fill="auto"/>
            <w:vAlign w:val="center"/>
          </w:tcPr>
          <w:p>
            <w:pPr>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王恩成（身份证号码：51051219******827X）</w:t>
            </w:r>
          </w:p>
        </w:tc>
        <w:tc>
          <w:tcPr>
            <w:tcW w:w="1814" w:type="dxa"/>
            <w:shd w:val="clear" w:color="auto" w:fill="auto"/>
            <w:vAlign w:val="center"/>
          </w:tcPr>
          <w:p>
            <w:pPr>
              <w:jc w:val="center"/>
              <w:rPr>
                <w:rFonts w:hint="eastAsia" w:ascii="仿宋_GB2312" w:eastAsia="仿宋_GB2312"/>
                <w:bCs/>
                <w:sz w:val="21"/>
                <w:szCs w:val="21"/>
              </w:rPr>
            </w:pPr>
            <w:r>
              <w:rPr>
                <w:rFonts w:hint="eastAsia" w:ascii="仿宋_GB2312" w:eastAsia="仿宋_GB2312"/>
                <w:sz w:val="24"/>
                <w:lang w:eastAsia="zh-CN"/>
              </w:rPr>
              <w:t>未对超过一定规模的危大工程（消防水池基础）专项施工方案进行专家论证，</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王恩成为</w:t>
            </w:r>
            <w:r>
              <w:rPr>
                <w:rFonts w:hint="eastAsia" w:ascii="仿宋_GB2312" w:eastAsia="仿宋_GB2312"/>
                <w:sz w:val="24"/>
                <w:lang w:val="en-US" w:eastAsia="zh-CN"/>
              </w:rPr>
              <w:t>项目具体负责人。</w:t>
            </w:r>
          </w:p>
        </w:tc>
        <w:tc>
          <w:tcPr>
            <w:tcW w:w="2097" w:type="dxa"/>
            <w:shd w:val="clear" w:color="auto" w:fill="auto"/>
            <w:vAlign w:val="center"/>
          </w:tcPr>
          <w:p>
            <w:pPr>
              <w:jc w:val="center"/>
              <w:rPr>
                <w:rFonts w:hint="default" w:ascii="仿宋_GB2312" w:hAnsi="仿宋" w:eastAsia="仿宋_GB2312"/>
                <w:color w:val="000000" w:themeColor="text1"/>
                <w:sz w:val="24"/>
                <w:szCs w:val="24"/>
                <w:lang w:val="en-US"/>
                <w14:textFill>
                  <w14:solidFill>
                    <w14:schemeClr w14:val="tx1"/>
                  </w14:solidFill>
                </w14:textFill>
              </w:rPr>
            </w:pPr>
            <w:r>
              <w:rPr>
                <w:rFonts w:hint="default" w:ascii="仿宋_GB2312" w:eastAsia="仿宋_GB2312"/>
                <w:sz w:val="24"/>
                <w:lang w:val="en-US" w:eastAsia="zh-CN"/>
              </w:rPr>
              <w:t>依据《危险性较大的分部分项工程安全管理规定》第三十四条</w:t>
            </w:r>
            <w:r>
              <w:rPr>
                <w:rFonts w:hint="eastAsia" w:ascii="仿宋_GB2312" w:eastAsia="仿宋_GB2312"/>
                <w:sz w:val="24"/>
                <w:lang w:val="en-US" w:eastAsia="zh-CN"/>
              </w:rPr>
              <w:t>第一项规定，对项目具体负责人王恩成处3000.00（大写：叁仟元整）罚款</w:t>
            </w:r>
          </w:p>
        </w:tc>
        <w:tc>
          <w:tcPr>
            <w:tcW w:w="1960" w:type="dxa"/>
            <w:shd w:val="clear" w:color="auto" w:fill="auto"/>
            <w:vAlign w:val="center"/>
          </w:tcPr>
          <w:p>
            <w:pPr>
              <w:jc w:val="center"/>
              <w:rPr>
                <w:rFonts w:hint="eastAsia" w:ascii="仿宋_GB2312" w:eastAsia="仿宋_GB2312"/>
                <w:bCs/>
                <w:sz w:val="24"/>
                <w:szCs w:val="24"/>
                <w:lang w:val="en-US" w:eastAsia="zh-CN"/>
              </w:rPr>
            </w:pPr>
            <w:r>
              <w:rPr>
                <w:rFonts w:hint="eastAsia" w:ascii="仿宋_GB2312" w:eastAsia="仿宋_GB2312"/>
                <w:bCs/>
                <w:sz w:val="24"/>
                <w:szCs w:val="24"/>
                <w:lang w:val="en-US" w:eastAsia="zh-CN"/>
              </w:rPr>
              <w:t>60日内向泸县人民政府申请行政复议，也可在收到本决定书之日起6个月内向泸县人民法院起诉。</w:t>
            </w:r>
          </w:p>
        </w:tc>
        <w:tc>
          <w:tcPr>
            <w:tcW w:w="1295" w:type="dxa"/>
            <w:shd w:val="clear" w:color="auto" w:fill="auto"/>
            <w:vAlign w:val="center"/>
          </w:tcPr>
          <w:p>
            <w:pPr>
              <w:jc w:val="center"/>
              <w:rPr>
                <w:rFonts w:hint="default" w:ascii="仿宋_GB2312" w:eastAsia="仿宋_GB2312"/>
                <w:color w:val="000000" w:themeColor="text1"/>
                <w:sz w:val="24"/>
                <w:lang w:val="en-US" w:eastAsia="zh-CN"/>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2021.8.12</w:t>
            </w:r>
          </w:p>
        </w:tc>
        <w:tc>
          <w:tcPr>
            <w:tcW w:w="561" w:type="dxa"/>
            <w:shd w:val="clear" w:color="auto" w:fill="auto"/>
            <w:vAlign w:val="center"/>
          </w:tcPr>
          <w:p>
            <w:pPr>
              <w:jc w:val="center"/>
              <w:rPr>
                <w:rFonts w:ascii="仿宋_GB2312" w:hAnsi="宋体" w:eastAsia="仿宋_GB2312" w:cs="宋体"/>
                <w:color w:val="000000" w:themeColor="text1"/>
                <w:kern w:val="0"/>
                <w:sz w:val="24"/>
                <w:szCs w:val="24"/>
                <w14:textFill>
                  <w14:solidFill>
                    <w14:schemeClr w14:val="tx1"/>
                  </w14:solidFill>
                </w14:textFill>
              </w:rPr>
            </w:pPr>
          </w:p>
        </w:tc>
      </w:tr>
    </w:tbl>
    <w:p/>
    <w:p>
      <w:pPr>
        <w:jc w:val="center"/>
        <w:rPr>
          <w:rFonts w:ascii="方正小标宋_GBK" w:eastAsia="方正小标宋_GBK"/>
          <w:sz w:val="44"/>
        </w:rPr>
        <w:sectPr>
          <w:pgSz w:w="16838" w:h="11906" w:orient="landscape"/>
          <w:pgMar w:top="1800" w:right="1440" w:bottom="1800" w:left="1440" w:header="851" w:footer="992" w:gutter="0"/>
          <w:cols w:space="425" w:num="1"/>
          <w:docGrid w:type="lines" w:linePitch="312" w:charSpace="0"/>
        </w:sectPr>
      </w:pPr>
    </w:p>
    <w:p>
      <w:pPr>
        <w:jc w:val="center"/>
        <w:rPr>
          <w:rFonts w:hint="eastAsia" w:ascii="方正小标宋_GBK" w:eastAsia="方正小标宋_GBK"/>
          <w:sz w:val="44"/>
          <w:lang w:eastAsia="zh-CN"/>
        </w:rPr>
      </w:pPr>
      <w:r>
        <w:rPr>
          <w:rFonts w:hint="eastAsia" w:ascii="方正小标宋_GBK" w:eastAsia="方正小标宋_GBK"/>
          <w:sz w:val="44"/>
          <w:lang w:eastAsia="zh-CN"/>
        </w:rPr>
        <w:drawing>
          <wp:inline distT="0" distB="0" distL="114300" distR="114300">
            <wp:extent cx="6045200" cy="8559800"/>
            <wp:effectExtent l="0" t="0" r="12700" b="12700"/>
            <wp:docPr id="2" name="图片 2" descr="f59d34859293c64a32f01470f2f2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9d34859293c64a32f01470f2f2a46"/>
                    <pic:cNvPicPr>
                      <a:picLocks noChangeAspect="1"/>
                    </pic:cNvPicPr>
                  </pic:nvPicPr>
                  <pic:blipFill>
                    <a:blip r:embed="rId4"/>
                    <a:stretch>
                      <a:fillRect/>
                    </a:stretch>
                  </pic:blipFill>
                  <pic:spPr>
                    <a:xfrm>
                      <a:off x="0" y="0"/>
                      <a:ext cx="6045200" cy="8559800"/>
                    </a:xfrm>
                    <a:prstGeom prst="rect">
                      <a:avLst/>
                    </a:prstGeom>
                  </pic:spPr>
                </pic:pic>
              </a:graphicData>
            </a:graphic>
          </wp:inline>
        </w:drawing>
      </w:r>
      <w:r>
        <w:rPr>
          <w:rFonts w:hint="eastAsia" w:ascii="方正小标宋_GBK" w:eastAsia="方正小标宋_GBK"/>
          <w:sz w:val="44"/>
          <w:lang w:eastAsia="zh-CN"/>
        </w:rPr>
        <w:drawing>
          <wp:inline distT="0" distB="0" distL="114300" distR="114300">
            <wp:extent cx="6019800" cy="8470900"/>
            <wp:effectExtent l="0" t="0" r="0" b="6350"/>
            <wp:docPr id="3" name="图片 3" descr="061ddcdcc08002dc446d6654466e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1ddcdcc08002dc446d6654466ec4f"/>
                    <pic:cNvPicPr>
                      <a:picLocks noChangeAspect="1"/>
                    </pic:cNvPicPr>
                  </pic:nvPicPr>
                  <pic:blipFill>
                    <a:blip r:embed="rId5"/>
                    <a:stretch>
                      <a:fillRect/>
                    </a:stretch>
                  </pic:blipFill>
                  <pic:spPr>
                    <a:xfrm>
                      <a:off x="0" y="0"/>
                      <a:ext cx="6019800" cy="8470900"/>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r>
        <w:rPr>
          <w:rFonts w:hint="eastAsia"/>
          <w:lang w:eastAsia="zh-CN"/>
        </w:rPr>
        <w:drawing>
          <wp:inline distT="0" distB="0" distL="114300" distR="114300">
            <wp:extent cx="6644640" cy="9387840"/>
            <wp:effectExtent l="0" t="0" r="3810" b="3810"/>
            <wp:docPr id="5" name="图片 5" descr="中成煤炭集团处罚公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成煤炭集团处罚公示3"/>
                    <pic:cNvPicPr>
                      <a:picLocks noChangeAspect="1"/>
                    </pic:cNvPicPr>
                  </pic:nvPicPr>
                  <pic:blipFill>
                    <a:blip r:embed="rId6"/>
                    <a:stretch>
                      <a:fillRect/>
                    </a:stretch>
                  </pic:blipFill>
                  <pic:spPr>
                    <a:xfrm>
                      <a:off x="0" y="0"/>
                      <a:ext cx="6644640" cy="9387840"/>
                    </a:xfrm>
                    <a:prstGeom prst="rect">
                      <a:avLst/>
                    </a:prstGeom>
                  </pic:spPr>
                </pic:pic>
              </a:graphicData>
            </a:graphic>
          </wp:inline>
        </w:drawing>
      </w:r>
      <w:r>
        <w:rPr>
          <w:rFonts w:hint="eastAsia"/>
          <w:lang w:eastAsia="zh-CN"/>
        </w:rPr>
        <w:drawing>
          <wp:inline distT="0" distB="0" distL="114300" distR="114300">
            <wp:extent cx="6644640" cy="9387840"/>
            <wp:effectExtent l="0" t="0" r="3810" b="3810"/>
            <wp:docPr id="4" name="图片 4" descr="中成煤炭集团处罚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成煤炭集团处罚公示2"/>
                    <pic:cNvPicPr>
                      <a:picLocks noChangeAspect="1"/>
                    </pic:cNvPicPr>
                  </pic:nvPicPr>
                  <pic:blipFill>
                    <a:blip r:embed="rId7"/>
                    <a:stretch>
                      <a:fillRect/>
                    </a:stretch>
                  </pic:blipFill>
                  <pic:spPr>
                    <a:xfrm>
                      <a:off x="0" y="0"/>
                      <a:ext cx="6644640" cy="9387840"/>
                    </a:xfrm>
                    <a:prstGeom prst="rect">
                      <a:avLst/>
                    </a:prstGeom>
                  </pic:spPr>
                </pic:pic>
              </a:graphicData>
            </a:graphic>
          </wp:inline>
        </w:drawing>
      </w:r>
      <w:r>
        <w:rPr>
          <w:rFonts w:hint="eastAsia"/>
          <w:lang w:eastAsia="zh-CN"/>
        </w:rPr>
        <w:drawing>
          <wp:inline distT="0" distB="0" distL="114300" distR="114300">
            <wp:extent cx="6644640" cy="9387840"/>
            <wp:effectExtent l="0" t="0" r="3810" b="3810"/>
            <wp:docPr id="1" name="图片 1" descr="中成煤炭集团处罚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成煤炭集团处罚公示1"/>
                    <pic:cNvPicPr>
                      <a:picLocks noChangeAspect="1"/>
                    </pic:cNvPicPr>
                  </pic:nvPicPr>
                  <pic:blipFill>
                    <a:blip r:embed="rId8"/>
                    <a:stretch>
                      <a:fillRect/>
                    </a:stretch>
                  </pic:blipFill>
                  <pic:spPr>
                    <a:xfrm>
                      <a:off x="0" y="0"/>
                      <a:ext cx="6644640" cy="9387840"/>
                    </a:xfrm>
                    <a:prstGeom prst="rect">
                      <a:avLst/>
                    </a:prstGeom>
                  </pic:spPr>
                </pic:pic>
              </a:graphicData>
            </a:graphic>
          </wp:inline>
        </w:drawing>
      </w:r>
    </w:p>
    <w:sectPr>
      <w:pgSz w:w="11906" w:h="16838"/>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4F5"/>
    <w:rsid w:val="000249E7"/>
    <w:rsid w:val="00035FFE"/>
    <w:rsid w:val="00064DF9"/>
    <w:rsid w:val="000F726B"/>
    <w:rsid w:val="001A3D82"/>
    <w:rsid w:val="002700EB"/>
    <w:rsid w:val="002C78F8"/>
    <w:rsid w:val="00300A27"/>
    <w:rsid w:val="00347A42"/>
    <w:rsid w:val="004536EF"/>
    <w:rsid w:val="004C1DBA"/>
    <w:rsid w:val="005C753F"/>
    <w:rsid w:val="00605265"/>
    <w:rsid w:val="00627B74"/>
    <w:rsid w:val="006733C2"/>
    <w:rsid w:val="00675945"/>
    <w:rsid w:val="00685106"/>
    <w:rsid w:val="006E2470"/>
    <w:rsid w:val="006F007A"/>
    <w:rsid w:val="007B63BF"/>
    <w:rsid w:val="00812053"/>
    <w:rsid w:val="00852C96"/>
    <w:rsid w:val="009E2E2A"/>
    <w:rsid w:val="00A13263"/>
    <w:rsid w:val="00AB464D"/>
    <w:rsid w:val="00B933C0"/>
    <w:rsid w:val="00BD3F55"/>
    <w:rsid w:val="00C20071"/>
    <w:rsid w:val="00D07867"/>
    <w:rsid w:val="00D444E5"/>
    <w:rsid w:val="00DE6167"/>
    <w:rsid w:val="00E264F5"/>
    <w:rsid w:val="00E560D4"/>
    <w:rsid w:val="00E56C7F"/>
    <w:rsid w:val="00F36793"/>
    <w:rsid w:val="00FB47A7"/>
    <w:rsid w:val="00FD3E87"/>
    <w:rsid w:val="00FD4166"/>
    <w:rsid w:val="00FF17A5"/>
    <w:rsid w:val="0D78385E"/>
    <w:rsid w:val="0FE44845"/>
    <w:rsid w:val="131C2280"/>
    <w:rsid w:val="155E3779"/>
    <w:rsid w:val="1FF742AF"/>
    <w:rsid w:val="20A64647"/>
    <w:rsid w:val="22733CB2"/>
    <w:rsid w:val="271D56B1"/>
    <w:rsid w:val="28DD42E4"/>
    <w:rsid w:val="2EE83D7E"/>
    <w:rsid w:val="2FFF3C0D"/>
    <w:rsid w:val="35DE6652"/>
    <w:rsid w:val="3E482482"/>
    <w:rsid w:val="3FA9525E"/>
    <w:rsid w:val="41A969FD"/>
    <w:rsid w:val="442D4E0D"/>
    <w:rsid w:val="46456ABE"/>
    <w:rsid w:val="48501625"/>
    <w:rsid w:val="4B09514E"/>
    <w:rsid w:val="4DFD383D"/>
    <w:rsid w:val="5CF0751C"/>
    <w:rsid w:val="678F223A"/>
    <w:rsid w:val="691F686D"/>
    <w:rsid w:val="781708D3"/>
    <w:rsid w:val="7A4C5BD8"/>
    <w:rsid w:val="7D703684"/>
    <w:rsid w:val="7DE6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link w:val="14"/>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2">
    <w:name w:val="heading 3"/>
    <w:basedOn w:val="1"/>
    <w:next w:val="1"/>
    <w:qFormat/>
    <w:uiPriority w:val="9"/>
    <w:pPr>
      <w:keepNext/>
      <w:keepLines/>
      <w:spacing w:before="260" w:after="260" w:line="413" w:lineRule="auto"/>
      <w:jc w:val="center"/>
      <w:outlineLvl w:val="2"/>
    </w:pPr>
    <w:rPr>
      <w:rFonts w:ascii="宋体"/>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8">
    <w:name w:val="样式1"/>
    <w:basedOn w:val="1"/>
    <w:link w:val="9"/>
    <w:qFormat/>
    <w:uiPriority w:val="0"/>
    <w:pPr>
      <w:adjustRightInd w:val="0"/>
      <w:snapToGrid w:val="0"/>
      <w:spacing w:line="700" w:lineRule="exact"/>
      <w:jc w:val="center"/>
    </w:pPr>
    <w:rPr>
      <w:rFonts w:ascii="方正小标宋_GBK" w:hAnsi="等线" w:eastAsia="方正小标宋_GBK" w:cs="Times New Roman"/>
      <w:sz w:val="44"/>
      <w:szCs w:val="44"/>
    </w:rPr>
  </w:style>
  <w:style w:type="character" w:customStyle="1" w:styleId="9">
    <w:name w:val="样式1 Char"/>
    <w:basedOn w:val="7"/>
    <w:link w:val="8"/>
    <w:qFormat/>
    <w:uiPriority w:val="0"/>
    <w:rPr>
      <w:rFonts w:ascii="方正小标宋_GBK" w:hAnsi="等线" w:eastAsia="方正小标宋_GBK" w:cs="Times New Roman"/>
      <w:sz w:val="44"/>
      <w:szCs w:val="44"/>
    </w:rPr>
  </w:style>
  <w:style w:type="paragraph" w:customStyle="1" w:styleId="10">
    <w:name w:val="样式2"/>
    <w:basedOn w:val="1"/>
    <w:link w:val="11"/>
    <w:qFormat/>
    <w:uiPriority w:val="0"/>
    <w:pPr>
      <w:adjustRightInd w:val="0"/>
      <w:snapToGrid w:val="0"/>
      <w:spacing w:line="580" w:lineRule="exact"/>
      <w:ind w:firstLine="640" w:firstLineChars="200"/>
    </w:pPr>
    <w:rPr>
      <w:rFonts w:ascii="仿宋_GB2312" w:hAnsi="等线" w:eastAsia="仿宋_GB2312" w:cs="Times New Roman"/>
      <w:sz w:val="32"/>
      <w:szCs w:val="32"/>
    </w:rPr>
  </w:style>
  <w:style w:type="character" w:customStyle="1" w:styleId="11">
    <w:name w:val="样式2 Char"/>
    <w:basedOn w:val="7"/>
    <w:link w:val="10"/>
    <w:qFormat/>
    <w:uiPriority w:val="0"/>
    <w:rPr>
      <w:rFonts w:ascii="仿宋_GB2312" w:hAnsi="等线" w:eastAsia="仿宋_GB2312" w:cs="Times New Roman"/>
      <w:sz w:val="32"/>
      <w:szCs w:val="32"/>
    </w:rPr>
  </w:style>
  <w:style w:type="paragraph" w:customStyle="1" w:styleId="12">
    <w:name w:val="样式3"/>
    <w:basedOn w:val="1"/>
    <w:link w:val="13"/>
    <w:qFormat/>
    <w:uiPriority w:val="0"/>
    <w:pPr>
      <w:adjustRightInd w:val="0"/>
      <w:snapToGrid w:val="0"/>
      <w:spacing w:beforeLines="50" w:line="580" w:lineRule="exact"/>
      <w:ind w:firstLine="640" w:firstLineChars="200"/>
      <w:jc w:val="left"/>
    </w:pPr>
    <w:rPr>
      <w:rFonts w:ascii="黑体" w:hAnsi="黑体" w:eastAsia="黑体" w:cs="Times New Roman"/>
      <w:sz w:val="32"/>
      <w:szCs w:val="32"/>
    </w:rPr>
  </w:style>
  <w:style w:type="character" w:customStyle="1" w:styleId="13">
    <w:name w:val="样式3 Char"/>
    <w:basedOn w:val="7"/>
    <w:link w:val="12"/>
    <w:qFormat/>
    <w:uiPriority w:val="0"/>
    <w:rPr>
      <w:rFonts w:ascii="黑体" w:hAnsi="黑体" w:eastAsia="黑体" w:cs="Times New Roman"/>
      <w:sz w:val="32"/>
      <w:szCs w:val="32"/>
    </w:rPr>
  </w:style>
  <w:style w:type="character" w:customStyle="1" w:styleId="14">
    <w:name w:val="标题 2 字符"/>
    <w:basedOn w:val="7"/>
    <w:link w:val="3"/>
    <w:qFormat/>
    <w:uiPriority w:val="9"/>
    <w:rPr>
      <w:rFonts w:ascii="宋体" w:hAnsi="宋体" w:eastAsia="宋体" w:cs="宋体"/>
      <w:b/>
      <w:bCs/>
      <w:kern w:val="0"/>
      <w:sz w:val="36"/>
      <w:szCs w:val="36"/>
    </w:rPr>
  </w:style>
  <w:style w:type="character" w:customStyle="1" w:styleId="15">
    <w:name w:val="页眉 字符"/>
    <w:basedOn w:val="7"/>
    <w:link w:val="5"/>
    <w:qFormat/>
    <w:uiPriority w:val="99"/>
    <w:rPr>
      <w:rFonts w:asciiTheme="minorHAnsi" w:hAnsiTheme="minorHAnsi" w:eastAsiaTheme="minorEastAsia" w:cstheme="minorBidi"/>
      <w:kern w:val="2"/>
      <w:sz w:val="18"/>
      <w:szCs w:val="18"/>
    </w:rPr>
  </w:style>
  <w:style w:type="character" w:customStyle="1" w:styleId="16">
    <w:name w:val="页脚 字符"/>
    <w:basedOn w:val="7"/>
    <w:link w:val="4"/>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51</Words>
  <Characters>293</Characters>
  <Lines>2</Lines>
  <Paragraphs>1</Paragraphs>
  <TotalTime>0</TotalTime>
  <ScaleCrop>false</ScaleCrop>
  <LinksUpToDate>false</LinksUpToDate>
  <CharactersWithSpaces>343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2019-08-31T08:56:00Z</dcterms:created>
  <dc:creator>Administrator</dc:creator>
  <cp:lastModifiedBy>真实</cp:lastModifiedBy>
  <dcterms:modified xsi:type="dcterms:W3CDTF">2021-08-18T10:06:23Z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1105552792_btnclosed</vt:lpwstr>
  </property>
  <property fmtid="{D5CDD505-2E9C-101B-9397-08002B2CF9AE}" pid="4" name="ICV">
    <vt:lpwstr>3096D9A32FA644BFB5F0BC73F4C50201</vt:lpwstr>
  </property>
</Properties>
</file>